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04FBB414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866EFB">
        <w:rPr>
          <w:rFonts w:ascii="Arial" w:hAnsi="Arial" w:cs="Arial"/>
          <w:b/>
          <w:bCs/>
          <w:sz w:val="22"/>
        </w:rPr>
        <w:t>5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</w:t>
      </w:r>
      <w:r w:rsidR="00866EFB">
        <w:rPr>
          <w:rFonts w:ascii="Arial" w:hAnsi="Arial" w:cs="Arial"/>
          <w:b/>
          <w:bCs/>
          <w:sz w:val="22"/>
        </w:rPr>
        <w:t>1735</w:t>
      </w:r>
    </w:p>
    <w:p w14:paraId="0351D878" w14:textId="28A707BD" w:rsidR="0066434B" w:rsidRPr="00341F45" w:rsidRDefault="00325ACB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="00866EFB"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866EFB">
        <w:rPr>
          <w:rFonts w:ascii="Arial" w:hAnsi="Arial" w:cs="Arial"/>
          <w:b/>
          <w:bCs/>
          <w:sz w:val="22"/>
        </w:rPr>
        <w:t>16</w:t>
      </w:r>
      <w:r w:rsidR="00866EFB" w:rsidRPr="00866EFB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866EFB">
        <w:rPr>
          <w:rFonts w:ascii="Arial" w:hAnsi="Arial" w:cs="Arial"/>
          <w:b/>
          <w:bCs/>
          <w:sz w:val="22"/>
        </w:rPr>
        <w:t>10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Pr="00325ACB">
        <w:rPr>
          <w:rFonts w:ascii="Arial" w:hAnsi="Arial" w:cs="Arial"/>
          <w:b/>
          <w:bCs/>
          <w:sz w:val="22"/>
        </w:rPr>
        <w:t>2019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62656923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</w:t>
      </w:r>
      <w:r w:rsidR="00C67D3C">
        <w:rPr>
          <w:rFonts w:ascii="Arial" w:hAnsi="Arial"/>
          <w:sz w:val="22"/>
        </w:rPr>
        <w:t>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19FE193A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866EFB" w:rsidRPr="00866EFB">
        <w:rPr>
          <w:rFonts w:ascii="Arial" w:hAnsi="Arial"/>
          <w:sz w:val="22"/>
        </w:rPr>
        <w:t>Lower NR UE capabilities in Rel-16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7132CF97" w:rsidR="00902FEA" w:rsidRPr="00FC2A81" w:rsidRDefault="00C276E9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04FAB3C7" w14:textId="114366BD" w:rsidR="00D81F64" w:rsidRDefault="00D909B0" w:rsidP="00417EDD">
      <w:pPr>
        <w:spacing w:after="0"/>
        <w:rPr>
          <w:rFonts w:eastAsia="MS Mincho"/>
          <w:lang w:val="en-US"/>
        </w:rPr>
      </w:pPr>
      <w:r w:rsidRPr="00D81F64">
        <w:rPr>
          <w:rFonts w:eastAsia="MS Mincho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B6F502" wp14:editId="1455D17E">
                <wp:simplePos x="0" y="0"/>
                <wp:positionH relativeFrom="margin">
                  <wp:align>right</wp:align>
                </wp:positionH>
                <wp:positionV relativeFrom="paragraph">
                  <wp:posOffset>335280</wp:posOffset>
                </wp:positionV>
                <wp:extent cx="5909310" cy="647700"/>
                <wp:effectExtent l="0" t="0" r="15240" b="1905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31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B302C" w14:textId="7A664375" w:rsidR="00BA42B8" w:rsidRDefault="00BA42B8" w:rsidP="00D909B0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[1]</w:t>
                            </w:r>
                          </w:p>
                          <w:p w14:paraId="65243BA2" w14:textId="14FFEB31" w:rsidR="00BA42B8" w:rsidRDefault="00BA42B8" w:rsidP="00D909B0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 w:rsidRPr="00D81F64">
                              <w:rPr>
                                <w:lang w:val="en-US"/>
                              </w:rPr>
                              <w:t xml:space="preserve">conclusion: - working assumption: 3GPP will not define </w:t>
                            </w:r>
                            <w:proofErr w:type="spellStart"/>
                            <w:r w:rsidRPr="00D81F64">
                              <w:rPr>
                                <w:lang w:val="en-US"/>
                              </w:rPr>
                              <w:t>eMBB</w:t>
                            </w:r>
                            <w:proofErr w:type="spellEnd"/>
                            <w:r w:rsidRPr="00D81F64">
                              <w:rPr>
                                <w:lang w:val="en-US"/>
                              </w:rPr>
                              <w:t xml:space="preserve"> NR UE cat. in the future - people can check until Dec.18 whether this decision </w:t>
                            </w:r>
                            <w:proofErr w:type="gramStart"/>
                            <w:r w:rsidRPr="00D81F64">
                              <w:rPr>
                                <w:lang w:val="en-US"/>
                              </w:rPr>
                              <w:t>has to</w:t>
                            </w:r>
                            <w:proofErr w:type="gramEnd"/>
                            <w:r w:rsidRPr="00D81F64">
                              <w:rPr>
                                <w:lang w:val="en-US"/>
                              </w:rPr>
                              <w:t xml:space="preserve"> be reverted otherwise it is confirmed</w:t>
                            </w:r>
                          </w:p>
                          <w:p w14:paraId="0E309FA6" w14:textId="0F2668F2" w:rsidR="00BA42B8" w:rsidRDefault="00BA42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B6F5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4.1pt;margin-top:26.4pt;width:465.3pt;height:51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">
                <v:textbox>
                  <w:txbxContent>
                    <w:p w14:paraId="7D3B302C" w14:textId="7A664375" w:rsidR="00BA42B8" w:rsidRDefault="00BA42B8" w:rsidP="00D909B0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[1]</w:t>
                      </w:r>
                    </w:p>
                    <w:p w14:paraId="65243BA2" w14:textId="14FFEB31" w:rsidR="00BA42B8" w:rsidRDefault="00BA42B8" w:rsidP="00D909B0">
                      <w:pPr>
                        <w:spacing w:after="0"/>
                        <w:rPr>
                          <w:lang w:val="en-US"/>
                        </w:rPr>
                      </w:pPr>
                      <w:r w:rsidRPr="00D81F64">
                        <w:rPr>
                          <w:lang w:val="en-US"/>
                        </w:rPr>
                        <w:t xml:space="preserve">conclusion: - working assumption: 3GPP will not define </w:t>
                      </w:r>
                      <w:proofErr w:type="spellStart"/>
                      <w:r w:rsidRPr="00D81F64">
                        <w:rPr>
                          <w:lang w:val="en-US"/>
                        </w:rPr>
                        <w:t>eMBB</w:t>
                      </w:r>
                      <w:proofErr w:type="spellEnd"/>
                      <w:r w:rsidRPr="00D81F64">
                        <w:rPr>
                          <w:lang w:val="en-US"/>
                        </w:rPr>
                        <w:t xml:space="preserve"> NR UE cat. in the future - people can check until Dec.18 whether this decision </w:t>
                      </w:r>
                      <w:proofErr w:type="gramStart"/>
                      <w:r w:rsidRPr="00D81F64">
                        <w:rPr>
                          <w:lang w:val="en-US"/>
                        </w:rPr>
                        <w:t>has to</w:t>
                      </w:r>
                      <w:proofErr w:type="gramEnd"/>
                      <w:r w:rsidRPr="00D81F64">
                        <w:rPr>
                          <w:lang w:val="en-US"/>
                        </w:rPr>
                        <w:t xml:space="preserve"> be reverted otherwise it is confirmed</w:t>
                      </w:r>
                    </w:p>
                    <w:p w14:paraId="0E309FA6" w14:textId="0F2668F2" w:rsidR="00BA42B8" w:rsidRDefault="00BA42B8"/>
                  </w:txbxContent>
                </v:textbox>
                <w10:wrap type="topAndBottom" anchorx="margin"/>
              </v:shape>
            </w:pict>
          </mc:Fallback>
        </mc:AlternateContent>
      </w:r>
      <w:r w:rsidR="00F422F2">
        <w:rPr>
          <w:rFonts w:eastAsia="MS Mincho"/>
          <w:lang w:val="en-US"/>
        </w:rPr>
        <w:t>At RAN#8</w:t>
      </w:r>
      <w:r w:rsidR="00D81F64">
        <w:rPr>
          <w:rFonts w:eastAsia="MS Mincho"/>
          <w:lang w:val="en-US"/>
        </w:rPr>
        <w:t>1</w:t>
      </w:r>
      <w:r w:rsidR="00F422F2">
        <w:rPr>
          <w:rFonts w:eastAsia="MS Mincho"/>
          <w:lang w:val="en-US"/>
        </w:rPr>
        <w:t>, i</w:t>
      </w:r>
      <w:r w:rsidR="00447428">
        <w:rPr>
          <w:rFonts w:eastAsia="MS Mincho"/>
          <w:lang w:val="en-US"/>
        </w:rPr>
        <w:t xml:space="preserve">t </w:t>
      </w:r>
      <w:r w:rsidR="00D81F64">
        <w:rPr>
          <w:rFonts w:eastAsia="MS Mincho"/>
          <w:lang w:val="en-US"/>
        </w:rPr>
        <w:t xml:space="preserve">has been concluded that NR UE categories will not be introduced. </w:t>
      </w:r>
    </w:p>
    <w:p w14:paraId="5B1FB867" w14:textId="5D212B82" w:rsidR="00D81F64" w:rsidRDefault="00D81F64" w:rsidP="00417EDD">
      <w:pPr>
        <w:spacing w:after="0"/>
        <w:rPr>
          <w:rFonts w:eastAsia="MS Mincho"/>
          <w:lang w:val="en-US"/>
        </w:rPr>
      </w:pPr>
    </w:p>
    <w:p w14:paraId="53D424B2" w14:textId="3EFDF665" w:rsidR="00D81F64" w:rsidRDefault="00D909B0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At the same time</w:t>
      </w:r>
      <w:r w:rsidR="00D81F64">
        <w:rPr>
          <w:rFonts w:eastAsia="MS Mincho"/>
          <w:lang w:val="en-US"/>
        </w:rPr>
        <w:t>, in order to sufficiently differentiate LTE and NR</w:t>
      </w:r>
      <w:r w:rsidR="004C398C">
        <w:rPr>
          <w:rFonts w:eastAsia="MS Mincho"/>
          <w:lang w:val="en-US"/>
        </w:rPr>
        <w:t xml:space="preserve"> </w:t>
      </w:r>
      <w:proofErr w:type="spellStart"/>
      <w:r w:rsidR="004C398C">
        <w:rPr>
          <w:rFonts w:eastAsia="MS Mincho"/>
          <w:lang w:val="en-US"/>
        </w:rPr>
        <w:t>eMBB</w:t>
      </w:r>
      <w:proofErr w:type="spellEnd"/>
      <w:r w:rsidR="00D81F64">
        <w:rPr>
          <w:rFonts w:eastAsia="MS Mincho"/>
          <w:lang w:val="en-US"/>
        </w:rPr>
        <w:t xml:space="preserve"> capabilities</w:t>
      </w:r>
      <w:r w:rsidR="004C398C">
        <w:rPr>
          <w:rFonts w:eastAsia="MS Mincho"/>
          <w:lang w:val="en-US"/>
        </w:rPr>
        <w:t xml:space="preserve"> in Rel-15</w:t>
      </w:r>
      <w:r w:rsidR="00D81F64">
        <w:rPr>
          <w:rFonts w:eastAsia="MS Mincho"/>
          <w:lang w:val="en-US"/>
        </w:rPr>
        <w:t xml:space="preserve">, certain features were made mandatory, including the following: </w:t>
      </w:r>
    </w:p>
    <w:p w14:paraId="22DA0F86" w14:textId="37DC16A5" w:rsidR="00D81F64" w:rsidRDefault="00D81F6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Support of 100MHz BW in FR1 for bands where 100MHz channel is available</w:t>
      </w:r>
    </w:p>
    <w:p w14:paraId="0D0CC150" w14:textId="77777777" w:rsidR="00D81F64" w:rsidRDefault="00D81F6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Support of 200MHz BW in FR2</w:t>
      </w:r>
    </w:p>
    <w:p w14:paraId="0F626A05" w14:textId="77777777" w:rsidR="00D81F64" w:rsidRDefault="00D81F64" w:rsidP="00D81F64">
      <w:pPr>
        <w:pStyle w:val="ListParagraph"/>
        <w:numPr>
          <w:ilvl w:val="0"/>
          <w:numId w:val="15"/>
        </w:numPr>
        <w:spacing w:after="0"/>
        <w:rPr>
          <w:lang w:val="en-US"/>
        </w:rPr>
      </w:pPr>
      <w:r>
        <w:rPr>
          <w:lang w:val="en-US"/>
        </w:rPr>
        <w:t>Support of 4-layer MIMO in high bands in FR1</w:t>
      </w:r>
    </w:p>
    <w:p w14:paraId="36C5A793" w14:textId="444466AC" w:rsidR="00D909B0" w:rsidRDefault="00D909B0" w:rsidP="00D81F64">
      <w:pPr>
        <w:spacing w:after="0"/>
        <w:rPr>
          <w:rFonts w:eastAsia="MS Mincho"/>
          <w:lang w:val="en-US"/>
        </w:rPr>
      </w:pPr>
    </w:p>
    <w:p w14:paraId="4132582A" w14:textId="1FEE1469" w:rsidR="007B0C0A" w:rsidRPr="007541C8" w:rsidRDefault="00D909B0" w:rsidP="00D81F64">
      <w:pPr>
        <w:spacing w:after="0"/>
        <w:rPr>
          <w:rFonts w:eastAsia="MS Mincho"/>
          <w:b/>
          <w:bCs/>
          <w:lang w:val="en-US"/>
        </w:rPr>
      </w:pPr>
      <w:r w:rsidRPr="007541C8">
        <w:rPr>
          <w:rFonts w:eastAsia="MS Mincho"/>
          <w:b/>
          <w:bCs/>
          <w:lang w:val="en-US"/>
        </w:rPr>
        <w:t>In certain regions, it is expected that demand will exist for lower complexity NR devices. Initially, such demand can be met with</w:t>
      </w:r>
      <w:r w:rsidR="00231944" w:rsidRPr="007541C8">
        <w:rPr>
          <w:rFonts w:eastAsia="MS Mincho"/>
          <w:b/>
          <w:bCs/>
          <w:lang w:val="en-US"/>
        </w:rPr>
        <w:t xml:space="preserve"> deploying more</w:t>
      </w:r>
      <w:r w:rsidRPr="007541C8">
        <w:rPr>
          <w:rFonts w:eastAsia="MS Mincho"/>
          <w:b/>
          <w:bCs/>
          <w:lang w:val="en-US"/>
        </w:rPr>
        <w:t xml:space="preserve"> LTE devices instead of NR</w:t>
      </w:r>
      <w:r w:rsidR="004C398C" w:rsidRPr="007541C8">
        <w:rPr>
          <w:rFonts w:eastAsia="MS Mincho"/>
          <w:b/>
          <w:bCs/>
          <w:lang w:val="en-US"/>
        </w:rPr>
        <w:t xml:space="preserve"> devices</w:t>
      </w:r>
      <w:r w:rsidRPr="007541C8">
        <w:rPr>
          <w:rFonts w:eastAsia="MS Mincho"/>
          <w:b/>
          <w:bCs/>
          <w:lang w:val="en-US"/>
        </w:rPr>
        <w:t xml:space="preserve">. However, as more spectrum for NR becomes available, it will be necessary to </w:t>
      </w:r>
      <w:r w:rsidR="007B0C0A" w:rsidRPr="007541C8">
        <w:rPr>
          <w:rFonts w:eastAsia="MS Mincho"/>
          <w:b/>
          <w:bCs/>
          <w:lang w:val="en-US"/>
        </w:rPr>
        <w:t xml:space="preserve">transition devices to NR in order to most efficiently utilize the new spectrum. </w:t>
      </w:r>
      <w:r w:rsidR="004C398C" w:rsidRPr="007541C8">
        <w:rPr>
          <w:rFonts w:eastAsia="MS Mincho"/>
          <w:b/>
          <w:bCs/>
          <w:lang w:val="en-US"/>
        </w:rPr>
        <w:t xml:space="preserve">This will necessitate the introduction of lower capability NR devices. </w:t>
      </w:r>
    </w:p>
    <w:p w14:paraId="0B91C0D0" w14:textId="719E95AB" w:rsidR="00C276E9" w:rsidRDefault="00C276E9" w:rsidP="00D81F64">
      <w:pPr>
        <w:spacing w:after="0"/>
        <w:rPr>
          <w:rFonts w:eastAsia="MS Mincho"/>
          <w:lang w:val="en-US"/>
        </w:rPr>
      </w:pPr>
    </w:p>
    <w:p w14:paraId="6BE0C478" w14:textId="1DD9F96B" w:rsidR="00C276E9" w:rsidRDefault="00C276E9" w:rsidP="00D81F64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At RAN#84, it was agreed that an email discussion would take place [3]. While this discussion is still ongoing, we would like to emphasize</w:t>
      </w:r>
      <w:r w:rsidR="007541C8">
        <w:rPr>
          <w:rFonts w:eastAsia="MS Mincho"/>
          <w:lang w:val="en-US"/>
        </w:rPr>
        <w:t xml:space="preserve"> in this contribution</w:t>
      </w:r>
      <w:r>
        <w:rPr>
          <w:rFonts w:eastAsia="MS Mincho"/>
          <w:lang w:val="en-US"/>
        </w:rPr>
        <w:t xml:space="preserve"> the importance of introducing lower capability UEs in an earlier release (Release</w:t>
      </w:r>
      <w:r w:rsidR="003D46F9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16). 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111A8930" w14:textId="27CE8A48" w:rsidR="00C276E9" w:rsidRDefault="00C276E9" w:rsidP="00FE7145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3AA5E017" w14:textId="5B9D9506" w:rsidR="00C276E9" w:rsidRDefault="00C276E9" w:rsidP="00C276E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It has been always the understanding that sometime after Rel-15, either the mandatory max BW or the mandatory max MIMO capability, or both, would be relaxed. We propose to do this in Rel-16.</w:t>
      </w:r>
    </w:p>
    <w:p w14:paraId="476AEC68" w14:textId="77777777" w:rsidR="007541C8" w:rsidRDefault="007541C8" w:rsidP="00C276E9">
      <w:pPr>
        <w:spacing w:after="0"/>
        <w:rPr>
          <w:rFonts w:eastAsia="MS Mincho"/>
          <w:lang w:val="en-US"/>
        </w:rPr>
      </w:pPr>
    </w:p>
    <w:p w14:paraId="543FE912" w14:textId="5E62AB2B" w:rsidR="004B4137" w:rsidRDefault="00C276E9" w:rsidP="00C276E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The</w:t>
      </w:r>
      <w:r w:rsidR="007541C8">
        <w:rPr>
          <w:rFonts w:eastAsia="MS Mincho"/>
          <w:lang w:val="en-US"/>
        </w:rPr>
        <w:t xml:space="preserve"> UE migration</w:t>
      </w:r>
      <w:r w:rsidR="004B4137">
        <w:rPr>
          <w:rFonts w:eastAsia="MS Mincho"/>
          <w:lang w:val="en-US"/>
        </w:rPr>
        <w:t xml:space="preserve"> </w:t>
      </w:r>
      <w:r w:rsidR="007541C8">
        <w:rPr>
          <w:rFonts w:eastAsia="MS Mincho"/>
          <w:lang w:val="en-US"/>
        </w:rPr>
        <w:t xml:space="preserve">(from LTE to NR) </w:t>
      </w:r>
      <w:r w:rsidR="004B4137">
        <w:rPr>
          <w:rFonts w:eastAsia="MS Mincho"/>
          <w:lang w:val="en-US"/>
        </w:rPr>
        <w:t>cases with</w:t>
      </w:r>
      <w:r w:rsidR="003D46F9">
        <w:rPr>
          <w:rFonts w:eastAsia="MS Mincho"/>
          <w:lang w:val="en-US"/>
        </w:rPr>
        <w:t>out</w:t>
      </w:r>
      <w:r w:rsidR="004B4137">
        <w:rPr>
          <w:rFonts w:eastAsia="MS Mincho"/>
          <w:lang w:val="en-US"/>
        </w:rPr>
        <w:t xml:space="preserve"> or with this change</w:t>
      </w:r>
      <w:r w:rsidR="00624B09">
        <w:rPr>
          <w:rFonts w:eastAsia="MS Mincho"/>
          <w:lang w:val="en-US"/>
        </w:rPr>
        <w:t xml:space="preserve"> in Rel-16</w:t>
      </w:r>
      <w:r w:rsidR="004B4137">
        <w:rPr>
          <w:rFonts w:eastAsia="MS Mincho"/>
          <w:lang w:val="en-US"/>
        </w:rPr>
        <w:t xml:space="preserve"> can be illustrated in the Figure 1 and </w:t>
      </w:r>
      <w:r w:rsidR="003D46F9">
        <w:rPr>
          <w:rFonts w:eastAsia="MS Mincho"/>
          <w:lang w:val="en-US"/>
        </w:rPr>
        <w:t xml:space="preserve">Figure </w:t>
      </w:r>
      <w:r w:rsidR="004B4137">
        <w:rPr>
          <w:rFonts w:eastAsia="MS Mincho"/>
          <w:lang w:val="en-US"/>
        </w:rPr>
        <w:t>2</w:t>
      </w:r>
      <w:r w:rsidR="003D46F9">
        <w:rPr>
          <w:rFonts w:eastAsia="MS Mincho"/>
          <w:lang w:val="en-US"/>
        </w:rPr>
        <w:t>, respectively,</w:t>
      </w:r>
      <w:r w:rsidR="004B4137">
        <w:rPr>
          <w:rFonts w:eastAsia="MS Mincho"/>
          <w:lang w:val="en-US"/>
        </w:rPr>
        <w:t xml:space="preserve"> below. </w:t>
      </w:r>
    </w:p>
    <w:p w14:paraId="2BFDF928" w14:textId="494C4E7E" w:rsidR="00F722E2" w:rsidRDefault="00F722E2" w:rsidP="00C276E9">
      <w:pPr>
        <w:spacing w:after="0"/>
        <w:rPr>
          <w:rFonts w:eastAsia="MS Mincho"/>
          <w:lang w:val="en-US"/>
        </w:rPr>
      </w:pPr>
    </w:p>
    <w:p w14:paraId="0F6C253F" w14:textId="42DDA3D3" w:rsidR="00F722E2" w:rsidRDefault="00F722E2" w:rsidP="00C276E9">
      <w:pPr>
        <w:spacing w:after="0"/>
        <w:rPr>
          <w:rFonts w:eastAsia="MS Mincho"/>
          <w:lang w:val="en-US"/>
        </w:rPr>
      </w:pPr>
    </w:p>
    <w:p w14:paraId="4BE2A97F" w14:textId="518D50CA" w:rsidR="00F722E2" w:rsidRDefault="00F722E2" w:rsidP="00C276E9">
      <w:pPr>
        <w:spacing w:after="0"/>
        <w:rPr>
          <w:rFonts w:eastAsia="MS Mincho"/>
          <w:lang w:val="en-US"/>
        </w:rPr>
      </w:pPr>
    </w:p>
    <w:p w14:paraId="3561458D" w14:textId="6FB608D6" w:rsidR="00F722E2" w:rsidRDefault="00F722E2" w:rsidP="00C276E9">
      <w:pPr>
        <w:spacing w:after="0"/>
        <w:rPr>
          <w:rFonts w:eastAsia="MS Mincho"/>
          <w:lang w:val="en-US"/>
        </w:rPr>
      </w:pPr>
    </w:p>
    <w:p w14:paraId="357DF90C" w14:textId="3CC80C37" w:rsidR="00F722E2" w:rsidRDefault="00F722E2" w:rsidP="00C276E9">
      <w:pPr>
        <w:spacing w:after="0"/>
        <w:rPr>
          <w:rFonts w:eastAsia="MS Mincho"/>
          <w:lang w:val="en-US"/>
        </w:rPr>
      </w:pPr>
    </w:p>
    <w:p w14:paraId="61895F10" w14:textId="6E10D4C8" w:rsidR="00F722E2" w:rsidRDefault="00F722E2" w:rsidP="00C276E9">
      <w:pPr>
        <w:spacing w:after="0"/>
        <w:rPr>
          <w:rFonts w:eastAsia="MS Mincho"/>
          <w:lang w:val="en-US"/>
        </w:rPr>
      </w:pPr>
    </w:p>
    <w:p w14:paraId="16BFF30C" w14:textId="5CDBC689" w:rsidR="00F722E2" w:rsidRDefault="00F722E2" w:rsidP="00C276E9">
      <w:pPr>
        <w:spacing w:after="0"/>
        <w:rPr>
          <w:rFonts w:eastAsia="MS Mincho"/>
          <w:lang w:val="en-US"/>
        </w:rPr>
      </w:pPr>
    </w:p>
    <w:p w14:paraId="765C51EE" w14:textId="4EC00156" w:rsidR="00F722E2" w:rsidRDefault="00F722E2" w:rsidP="00C276E9">
      <w:pPr>
        <w:spacing w:after="0"/>
        <w:rPr>
          <w:rFonts w:eastAsia="MS Mincho"/>
          <w:lang w:val="en-US"/>
        </w:rPr>
      </w:pPr>
    </w:p>
    <w:p w14:paraId="37000D0B" w14:textId="18013FCE" w:rsidR="00F722E2" w:rsidRDefault="00F722E2" w:rsidP="00C276E9">
      <w:pPr>
        <w:spacing w:after="0"/>
        <w:rPr>
          <w:rFonts w:eastAsia="MS Mincho"/>
          <w:lang w:val="en-US"/>
        </w:rPr>
      </w:pPr>
    </w:p>
    <w:p w14:paraId="02F98F64" w14:textId="3AFEA2BB" w:rsidR="00F722E2" w:rsidRDefault="00F722E2" w:rsidP="00C276E9">
      <w:pPr>
        <w:spacing w:after="0"/>
        <w:rPr>
          <w:rFonts w:eastAsia="MS Mincho"/>
          <w:lang w:val="en-US"/>
        </w:rPr>
      </w:pPr>
    </w:p>
    <w:p w14:paraId="55B5AAA3" w14:textId="356023BB" w:rsidR="00F722E2" w:rsidRDefault="00F722E2" w:rsidP="00C276E9">
      <w:pPr>
        <w:spacing w:after="0"/>
        <w:rPr>
          <w:rFonts w:eastAsia="MS Mincho"/>
          <w:lang w:val="en-US"/>
        </w:rPr>
      </w:pPr>
    </w:p>
    <w:p w14:paraId="444781B8" w14:textId="06483FF2" w:rsidR="00F722E2" w:rsidRDefault="00F722E2" w:rsidP="00C276E9">
      <w:pPr>
        <w:spacing w:after="0"/>
        <w:rPr>
          <w:rFonts w:eastAsia="MS Mincho"/>
          <w:lang w:val="en-US"/>
        </w:rPr>
      </w:pPr>
    </w:p>
    <w:p w14:paraId="1CC9E110" w14:textId="77777777" w:rsidR="00F722E2" w:rsidRDefault="00F722E2" w:rsidP="00C276E9">
      <w:pPr>
        <w:spacing w:after="0"/>
        <w:rPr>
          <w:rFonts w:eastAsia="MS Mincho"/>
          <w:lang w:val="en-US"/>
        </w:rPr>
      </w:pPr>
    </w:p>
    <w:p w14:paraId="237D825B" w14:textId="20FE9C27" w:rsidR="004B4137" w:rsidRDefault="004B4137" w:rsidP="00C276E9">
      <w:pPr>
        <w:spacing w:after="0"/>
        <w:rPr>
          <w:rFonts w:eastAsia="MS Mincho"/>
          <w:lang w:val="en-US"/>
        </w:rPr>
      </w:pPr>
    </w:p>
    <w:p w14:paraId="49FE6770" w14:textId="48540475" w:rsidR="003730B9" w:rsidRDefault="003730B9" w:rsidP="003730B9">
      <w:pPr>
        <w:spacing w:after="0"/>
        <w:rPr>
          <w:rFonts w:eastAsia="MS Mincho"/>
          <w:lang w:val="en-US"/>
        </w:rPr>
      </w:pPr>
      <w:r>
        <w:rPr>
          <w:rFonts w:eastAsia="MS Mincho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0D7B77" wp14:editId="4247908A">
                <wp:simplePos x="0" y="0"/>
                <wp:positionH relativeFrom="column">
                  <wp:posOffset>2054201</wp:posOffset>
                </wp:positionH>
                <wp:positionV relativeFrom="paragraph">
                  <wp:posOffset>957885</wp:posOffset>
                </wp:positionV>
                <wp:extent cx="1499616" cy="1104595"/>
                <wp:effectExtent l="0" t="0" r="81915" b="5778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9616" cy="11045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7BAA5" id="Straight Arrow Connector 7" o:spid="_x0000_s1026" type="#_x0000_t32" style="position:absolute;margin-left:161.75pt;margin-top:75.4pt;width:118.1pt;height:8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eastAsia="MS Mincho"/>
          <w:noProof/>
          <w:lang w:val="en-US"/>
        </w:rPr>
        <w:drawing>
          <wp:inline distT="0" distB="0" distL="0" distR="0" wp14:anchorId="5FB8B182" wp14:editId="4B7EB41F">
            <wp:extent cx="3546865" cy="97292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08" cy="1007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24B09">
        <w:rPr>
          <w:rFonts w:eastAsia="MS Mincho"/>
          <w:lang w:val="en-US"/>
        </w:rPr>
        <w:t xml:space="preserve">  </w:t>
      </w:r>
      <w:r w:rsidR="00624B09">
        <w:rPr>
          <w:rFonts w:eastAsia="MS Mincho"/>
          <w:noProof/>
          <w:lang w:val="en-US"/>
        </w:rPr>
        <w:drawing>
          <wp:inline distT="0" distB="0" distL="0" distR="0" wp14:anchorId="5A3BDE82" wp14:editId="0AEFB3FF">
            <wp:extent cx="826617" cy="19818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98" cy="213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D31D69" w14:textId="77777777" w:rsidR="003730B9" w:rsidRDefault="003730B9" w:rsidP="003730B9">
      <w:pPr>
        <w:spacing w:after="0"/>
        <w:rPr>
          <w:rFonts w:eastAsia="MS Mincho"/>
          <w:lang w:val="en-US"/>
        </w:rPr>
      </w:pPr>
      <w:r>
        <w:rPr>
          <w:rFonts w:eastAsia="MS Minch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D0F8AE" wp14:editId="75A22C7A">
                <wp:simplePos x="0" y="0"/>
                <wp:positionH relativeFrom="column">
                  <wp:posOffset>752094</wp:posOffset>
                </wp:positionH>
                <wp:positionV relativeFrom="paragraph">
                  <wp:posOffset>7010</wp:posOffset>
                </wp:positionV>
                <wp:extent cx="1031443" cy="1082320"/>
                <wp:effectExtent l="0" t="0" r="73660" b="609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443" cy="10823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CE9FF" id="Straight Arrow Connector 8" o:spid="_x0000_s1026" type="#_x0000_t32" style="position:absolute;margin-left:59.2pt;margin-top:.55pt;width:81.2pt;height:8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" strokecolor="#4472c4 [3204]" strokeweight=".5pt">
                <v:stroke endarrow="block" joinstyle="miter"/>
              </v:shape>
            </w:pict>
          </mc:Fallback>
        </mc:AlternateContent>
      </w:r>
    </w:p>
    <w:p w14:paraId="211C2A4D" w14:textId="72E76843" w:rsidR="003730B9" w:rsidRDefault="003730B9" w:rsidP="003730B9">
      <w:pPr>
        <w:spacing w:after="0"/>
        <w:rPr>
          <w:rFonts w:eastAsia="MS Mincho"/>
          <w:lang w:val="en-US"/>
        </w:rPr>
      </w:pPr>
    </w:p>
    <w:p w14:paraId="1280CAAC" w14:textId="4385D204" w:rsidR="003730B9" w:rsidRDefault="003730B9" w:rsidP="003730B9">
      <w:pPr>
        <w:spacing w:after="0"/>
        <w:rPr>
          <w:rFonts w:eastAsia="MS Mincho"/>
          <w:lang w:val="en-US"/>
        </w:rPr>
      </w:pPr>
      <w:r>
        <w:rPr>
          <w:rFonts w:eastAsia="MS Minch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4452FF" wp14:editId="1C72894D">
                <wp:simplePos x="0" y="0"/>
                <wp:positionH relativeFrom="column">
                  <wp:posOffset>1161415</wp:posOffset>
                </wp:positionH>
                <wp:positionV relativeFrom="paragraph">
                  <wp:posOffset>134925</wp:posOffset>
                </wp:positionV>
                <wp:extent cx="270663" cy="307238"/>
                <wp:effectExtent l="0" t="0" r="0" b="0"/>
                <wp:wrapNone/>
                <wp:docPr id="12" name="Multiplication Sig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663" cy="307238"/>
                        </a:xfrm>
                        <a:prstGeom prst="mathMultiply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4F6E40" id="Multiplication Sign 12" o:spid="_x0000_s1026" style="position:absolute;margin-left:91.45pt;margin-top:10.6pt;width:21.3pt;height:2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0663,307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" path="m41123,94832l88890,52750r46442,52717l181773,52750r47767,42082l177751,153619r51789,58787l181773,254488,135332,201771,88890,254488,41123,212406,92912,153619,41123,94832xe" fillcolor="red" strokecolor="#1f3763 [1604]" strokeweight="1pt">
                <v:stroke joinstyle="miter"/>
                <v:path arrowok="t" o:connecttype="custom" o:connectlocs="41123,94832;88890,52750;135332,105467;181773,52750;229540,94832;177751,153619;229540,212406;181773,254488;135332,201771;88890,254488;41123,212406;92912,153619;41123,94832" o:connectangles="0,0,0,0,0,0,0,0,0,0,0,0,0"/>
              </v:shape>
            </w:pict>
          </mc:Fallback>
        </mc:AlternateContent>
      </w:r>
      <w:r>
        <w:rPr>
          <w:rFonts w:eastAsia="MS Mincho"/>
          <w:noProof/>
          <w:lang w:val="en-US"/>
        </w:rPr>
        <w:t xml:space="preserve">                             </w:t>
      </w:r>
      <w:r>
        <w:rPr>
          <w:rFonts w:eastAsia="MS Mincho"/>
          <w:noProof/>
          <w:lang w:val="en-US"/>
        </w:rPr>
        <w:drawing>
          <wp:inline distT="0" distB="0" distL="0" distR="0" wp14:anchorId="00F4D773" wp14:editId="10ED0CA1">
            <wp:extent cx="3284525" cy="1042633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369" cy="1075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24B09">
        <w:rPr>
          <w:rFonts w:eastAsia="MS Mincho"/>
          <w:noProof/>
          <w:lang w:val="en-US"/>
        </w:rPr>
        <w:drawing>
          <wp:inline distT="0" distB="0" distL="0" distR="0" wp14:anchorId="7FD6AB3B" wp14:editId="5A5B1D2F">
            <wp:extent cx="824564" cy="200660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762" cy="226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5623A" w14:textId="77777777" w:rsidR="003730B9" w:rsidRDefault="003730B9" w:rsidP="003730B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</w:t>
      </w:r>
    </w:p>
    <w:p w14:paraId="487BBE60" w14:textId="77777777" w:rsidR="003D46F9" w:rsidRDefault="003D46F9" w:rsidP="003730B9">
      <w:pPr>
        <w:pStyle w:val="Caption"/>
        <w:jc w:val="center"/>
      </w:pPr>
    </w:p>
    <w:p w14:paraId="3FA60524" w14:textId="774EC115" w:rsidR="003730B9" w:rsidRDefault="003730B9" w:rsidP="003730B9">
      <w:pPr>
        <w:pStyle w:val="Caption"/>
        <w:jc w:val="center"/>
        <w:rPr>
          <w:rFonts w:eastAsia="MS Mincho"/>
          <w:lang w:val="en-US"/>
        </w:rPr>
      </w:pPr>
      <w:r>
        <w:t xml:space="preserve">Figure </w:t>
      </w:r>
      <w:r w:rsidR="003D46F9">
        <w:t>1</w:t>
      </w:r>
      <w:r>
        <w:t xml:space="preserve"> No migration without lower capability UEs</w:t>
      </w:r>
    </w:p>
    <w:p w14:paraId="5F200726" w14:textId="237A0F31" w:rsidR="003730B9" w:rsidRDefault="003730B9" w:rsidP="003730B9">
      <w:pPr>
        <w:spacing w:after="0"/>
        <w:rPr>
          <w:rFonts w:eastAsia="MS Mincho"/>
          <w:lang w:val="en-US"/>
        </w:rPr>
      </w:pPr>
    </w:p>
    <w:p w14:paraId="1CA59C1A" w14:textId="4E4346D6" w:rsidR="003D46F9" w:rsidRDefault="003D46F9" w:rsidP="003730B9">
      <w:pPr>
        <w:spacing w:after="0"/>
        <w:rPr>
          <w:rFonts w:eastAsia="MS Mincho"/>
          <w:lang w:val="en-US"/>
        </w:rPr>
      </w:pPr>
    </w:p>
    <w:p w14:paraId="0601510B" w14:textId="77777777" w:rsidR="003D46F9" w:rsidRDefault="003D46F9" w:rsidP="003730B9">
      <w:pPr>
        <w:spacing w:after="0"/>
        <w:rPr>
          <w:rFonts w:eastAsia="MS Mincho"/>
          <w:lang w:val="en-US"/>
        </w:rPr>
      </w:pPr>
    </w:p>
    <w:p w14:paraId="3939DBB0" w14:textId="77777777" w:rsidR="003D46F9" w:rsidRDefault="003D46F9" w:rsidP="003D46F9">
      <w:pPr>
        <w:spacing w:after="0"/>
        <w:rPr>
          <w:rFonts w:eastAsia="MS Mincho"/>
          <w:lang w:val="en-US"/>
        </w:rPr>
      </w:pPr>
    </w:p>
    <w:p w14:paraId="7BADCC85" w14:textId="77777777" w:rsidR="003D46F9" w:rsidRDefault="003D46F9" w:rsidP="003D46F9">
      <w:pPr>
        <w:spacing w:after="0"/>
        <w:rPr>
          <w:rFonts w:eastAsia="MS Mincho"/>
          <w:lang w:val="en-US"/>
        </w:rPr>
      </w:pPr>
    </w:p>
    <w:p w14:paraId="558C057F" w14:textId="77777777" w:rsidR="003D46F9" w:rsidRDefault="003D46F9" w:rsidP="003D46F9">
      <w:pPr>
        <w:spacing w:after="0"/>
        <w:rPr>
          <w:rFonts w:eastAsia="MS Mincho"/>
          <w:lang w:val="en-US"/>
        </w:rPr>
      </w:pPr>
      <w:r>
        <w:rPr>
          <w:rFonts w:eastAsia="MS Minch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E63C4C" wp14:editId="61A42300">
                <wp:simplePos x="0" y="0"/>
                <wp:positionH relativeFrom="column">
                  <wp:posOffset>2054200</wp:posOffset>
                </wp:positionH>
                <wp:positionV relativeFrom="paragraph">
                  <wp:posOffset>960120</wp:posOffset>
                </wp:positionV>
                <wp:extent cx="1155801" cy="1097001"/>
                <wp:effectExtent l="0" t="0" r="82550" b="6540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5801" cy="109700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CD10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61.75pt;margin-top:75.6pt;width:91pt;height:86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eastAsia="MS Mincho"/>
          <w:noProof/>
          <w:lang w:val="en-US"/>
        </w:rPr>
        <w:drawing>
          <wp:inline distT="0" distB="0" distL="0" distR="0" wp14:anchorId="70DF91E3" wp14:editId="4BEC97F7">
            <wp:extent cx="3546865" cy="97292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08" cy="1007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MS Mincho"/>
          <w:noProof/>
          <w:lang w:val="en-US"/>
        </w:rPr>
        <w:drawing>
          <wp:inline distT="0" distB="0" distL="0" distR="0" wp14:anchorId="4E8ECB27" wp14:editId="57146AA3">
            <wp:extent cx="905592" cy="21711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149" cy="234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BBCAA6" w14:textId="77777777" w:rsidR="003D46F9" w:rsidRDefault="003D46F9" w:rsidP="003D46F9">
      <w:pPr>
        <w:spacing w:after="0"/>
        <w:rPr>
          <w:rFonts w:eastAsia="MS Mincho"/>
          <w:lang w:val="en-US"/>
        </w:rPr>
      </w:pPr>
      <w:r>
        <w:rPr>
          <w:rFonts w:eastAsia="MS Mincho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4BD664" wp14:editId="096C98BE">
                <wp:simplePos x="0" y="0"/>
                <wp:positionH relativeFrom="column">
                  <wp:posOffset>752094</wp:posOffset>
                </wp:positionH>
                <wp:positionV relativeFrom="paragraph">
                  <wp:posOffset>9246</wp:posOffset>
                </wp:positionV>
                <wp:extent cx="1148486" cy="1075334"/>
                <wp:effectExtent l="0" t="0" r="71120" b="4889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486" cy="10753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6A496" id="Straight Arrow Connector 5" o:spid="_x0000_s1026" type="#_x0000_t32" style="position:absolute;margin-left:59.2pt;margin-top:.75pt;width:90.45pt;height:8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" strokecolor="#4472c4 [3204]" strokeweight=".5pt">
                <v:stroke endarrow="block" joinstyle="miter"/>
              </v:shape>
            </w:pict>
          </mc:Fallback>
        </mc:AlternateContent>
      </w:r>
    </w:p>
    <w:p w14:paraId="7A5A499F" w14:textId="77777777" w:rsidR="003D46F9" w:rsidRDefault="003D46F9" w:rsidP="003D46F9">
      <w:pPr>
        <w:spacing w:after="0"/>
        <w:rPr>
          <w:rFonts w:eastAsia="MS Mincho"/>
          <w:lang w:val="en-US"/>
        </w:rPr>
      </w:pPr>
    </w:p>
    <w:p w14:paraId="74C75AC2" w14:textId="77777777" w:rsidR="003D46F9" w:rsidRDefault="003D46F9" w:rsidP="003D46F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  <w:noProof/>
          <w:lang w:val="en-US"/>
        </w:rPr>
        <w:drawing>
          <wp:inline distT="0" distB="0" distL="0" distR="0" wp14:anchorId="262C5F68" wp14:editId="0F54DCF8">
            <wp:extent cx="3577989" cy="994868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014" cy="1031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MS Mincho"/>
          <w:noProof/>
          <w:lang w:val="en-US"/>
        </w:rPr>
        <w:drawing>
          <wp:inline distT="0" distB="0" distL="0" distR="0" wp14:anchorId="45ADD4CF" wp14:editId="38C9E450">
            <wp:extent cx="929030" cy="226082"/>
            <wp:effectExtent l="0" t="0" r="4445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593" cy="2447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1CA60" w14:textId="77777777" w:rsidR="003D46F9" w:rsidRDefault="003D46F9" w:rsidP="003D46F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</w:t>
      </w:r>
    </w:p>
    <w:p w14:paraId="2FD6BC54" w14:textId="77777777" w:rsidR="003D46F9" w:rsidRDefault="003D46F9" w:rsidP="003D46F9">
      <w:pPr>
        <w:pStyle w:val="Caption"/>
        <w:jc w:val="center"/>
      </w:pPr>
    </w:p>
    <w:p w14:paraId="3CED8F21" w14:textId="24E38240" w:rsidR="003D46F9" w:rsidRDefault="003D46F9" w:rsidP="003D46F9">
      <w:pPr>
        <w:pStyle w:val="Caption"/>
        <w:jc w:val="center"/>
        <w:rPr>
          <w:rFonts w:eastAsia="MS Mincho"/>
          <w:lang w:val="en-US"/>
        </w:rPr>
      </w:pPr>
      <w:r>
        <w:t xml:space="preserve">Figure </w:t>
      </w:r>
      <w:r>
        <w:t>2</w:t>
      </w:r>
      <w:r>
        <w:t xml:space="preserve"> Migration scenario with lower capability UEs</w:t>
      </w:r>
    </w:p>
    <w:p w14:paraId="0098BF0E" w14:textId="77777777" w:rsidR="003D46F9" w:rsidRDefault="003D46F9" w:rsidP="003D46F9">
      <w:pPr>
        <w:spacing w:after="0"/>
        <w:rPr>
          <w:rFonts w:eastAsia="MS Mincho"/>
          <w:lang w:val="en-US"/>
        </w:rPr>
      </w:pPr>
    </w:p>
    <w:p w14:paraId="0D70BE1B" w14:textId="77777777" w:rsidR="003D46F9" w:rsidRDefault="003D46F9" w:rsidP="003730B9">
      <w:pPr>
        <w:spacing w:after="0"/>
        <w:rPr>
          <w:rFonts w:eastAsia="MS Mincho"/>
          <w:lang w:val="en-US"/>
        </w:rPr>
      </w:pPr>
    </w:p>
    <w:p w14:paraId="6ABF2B2C" w14:textId="77777777" w:rsidR="003730B9" w:rsidRDefault="003730B9" w:rsidP="003730B9">
      <w:pPr>
        <w:spacing w:after="0"/>
        <w:rPr>
          <w:rFonts w:eastAsia="MS Mincho"/>
          <w:lang w:val="en-US"/>
        </w:rPr>
      </w:pPr>
    </w:p>
    <w:p w14:paraId="42E8262E" w14:textId="2547EDE8" w:rsidR="003730B9" w:rsidRDefault="003730B9" w:rsidP="003730B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As </w:t>
      </w:r>
      <w:r w:rsidR="00624B09">
        <w:rPr>
          <w:rFonts w:eastAsia="MS Mincho"/>
          <w:lang w:val="en-US"/>
        </w:rPr>
        <w:t>can be seen with the comparison of</w:t>
      </w:r>
      <w:r>
        <w:rPr>
          <w:rFonts w:eastAsia="MS Mincho"/>
          <w:lang w:val="en-US"/>
        </w:rPr>
        <w:t xml:space="preserve"> Figure 1</w:t>
      </w:r>
      <w:r w:rsidR="00624B09">
        <w:rPr>
          <w:rFonts w:eastAsia="MS Mincho"/>
          <w:lang w:val="en-US"/>
        </w:rPr>
        <w:t xml:space="preserve"> with Figure 2</w:t>
      </w:r>
      <w:r>
        <w:rPr>
          <w:rFonts w:eastAsia="MS Mincho"/>
          <w:lang w:val="en-US"/>
        </w:rPr>
        <w:t>, the introduction of lower capability NR UEs in Rel-16 would enable migrating all current LTE users</w:t>
      </w:r>
      <w:r w:rsidR="00624B09">
        <w:rPr>
          <w:rFonts w:eastAsia="MS Mincho"/>
          <w:lang w:val="en-US"/>
        </w:rPr>
        <w:t>, not only high-end smartphone LTE users,</w:t>
      </w:r>
      <w:r>
        <w:rPr>
          <w:rFonts w:eastAsia="MS Mincho"/>
          <w:lang w:val="en-US"/>
        </w:rPr>
        <w:t xml:space="preserve"> sooner. This would have the following additional benefits: </w:t>
      </w:r>
    </w:p>
    <w:p w14:paraId="5B4D06F8" w14:textId="28B30D13" w:rsidR="00BA42B8" w:rsidRPr="00624B09" w:rsidRDefault="00BA42B8" w:rsidP="00BA42B8">
      <w:pPr>
        <w:pStyle w:val="ListParagraph"/>
        <w:numPr>
          <w:ilvl w:val="0"/>
          <w:numId w:val="16"/>
        </w:numPr>
        <w:spacing w:after="0"/>
        <w:rPr>
          <w:b/>
          <w:bCs/>
          <w:lang w:val="en-US"/>
        </w:rPr>
      </w:pPr>
      <w:r w:rsidRPr="00624B09">
        <w:rPr>
          <w:b/>
          <w:bCs/>
          <w:lang w:val="en-US"/>
        </w:rPr>
        <w:t>Better spectrum utilization</w:t>
      </w:r>
      <w:r w:rsidR="00624B09" w:rsidRPr="00624B09">
        <w:rPr>
          <w:b/>
          <w:bCs/>
          <w:lang w:val="en-US"/>
        </w:rPr>
        <w:t xml:space="preserve"> of new NR spectrum</w:t>
      </w:r>
    </w:p>
    <w:p w14:paraId="655BB048" w14:textId="7CD9F749" w:rsidR="00BA42B8" w:rsidRPr="00624B09" w:rsidRDefault="00BA42B8" w:rsidP="00BA42B8">
      <w:pPr>
        <w:pStyle w:val="ListParagraph"/>
        <w:numPr>
          <w:ilvl w:val="0"/>
          <w:numId w:val="16"/>
        </w:numPr>
        <w:spacing w:after="0"/>
        <w:rPr>
          <w:b/>
          <w:bCs/>
          <w:lang w:val="en-US"/>
        </w:rPr>
      </w:pPr>
      <w:r w:rsidRPr="00624B09">
        <w:rPr>
          <w:b/>
          <w:bCs/>
          <w:lang w:val="en-US"/>
        </w:rPr>
        <w:t>Earlier phase</w:t>
      </w:r>
      <w:r w:rsidR="00624B09" w:rsidRPr="00624B09">
        <w:rPr>
          <w:b/>
          <w:bCs/>
          <w:lang w:val="en-US"/>
        </w:rPr>
        <w:t>-</w:t>
      </w:r>
      <w:r w:rsidRPr="00624B09">
        <w:rPr>
          <w:b/>
          <w:bCs/>
          <w:lang w:val="en-US"/>
        </w:rPr>
        <w:t>out of DSS</w:t>
      </w:r>
    </w:p>
    <w:p w14:paraId="6E976D83" w14:textId="091423C3" w:rsidR="00BA42B8" w:rsidRPr="00624B09" w:rsidRDefault="00BA42B8" w:rsidP="00BA42B8">
      <w:pPr>
        <w:pStyle w:val="ListParagraph"/>
        <w:numPr>
          <w:ilvl w:val="1"/>
          <w:numId w:val="16"/>
        </w:numPr>
        <w:spacing w:after="0"/>
        <w:rPr>
          <w:b/>
          <w:bCs/>
          <w:lang w:val="en-US"/>
        </w:rPr>
      </w:pPr>
      <w:r w:rsidRPr="00624B09">
        <w:rPr>
          <w:b/>
          <w:bCs/>
          <w:lang w:val="en-US"/>
        </w:rPr>
        <w:t xml:space="preserve">Removal of spectrum efficiency </w:t>
      </w:r>
      <w:r w:rsidR="00624B09" w:rsidRPr="00624B09">
        <w:rPr>
          <w:b/>
          <w:bCs/>
          <w:lang w:val="en-US"/>
        </w:rPr>
        <w:t xml:space="preserve">reduction </w:t>
      </w:r>
      <w:r w:rsidRPr="00624B09">
        <w:rPr>
          <w:b/>
          <w:bCs/>
          <w:lang w:val="en-US"/>
        </w:rPr>
        <w:t xml:space="preserve">and </w:t>
      </w:r>
      <w:r w:rsidR="00624B09" w:rsidRPr="00624B09">
        <w:rPr>
          <w:b/>
          <w:bCs/>
          <w:lang w:val="en-US"/>
        </w:rPr>
        <w:t xml:space="preserve">NR </w:t>
      </w:r>
      <w:r w:rsidRPr="00624B09">
        <w:rPr>
          <w:b/>
          <w:bCs/>
          <w:lang w:val="en-US"/>
        </w:rPr>
        <w:t>latency</w:t>
      </w:r>
      <w:r w:rsidR="00624B09" w:rsidRPr="00624B09">
        <w:rPr>
          <w:b/>
          <w:bCs/>
          <w:lang w:val="en-US"/>
        </w:rPr>
        <w:t xml:space="preserve"> degradation</w:t>
      </w:r>
      <w:r w:rsidRPr="00624B09">
        <w:rPr>
          <w:b/>
          <w:bCs/>
          <w:lang w:val="en-US"/>
        </w:rPr>
        <w:t xml:space="preserve"> due to DSS</w:t>
      </w:r>
    </w:p>
    <w:p w14:paraId="5F1260E0" w14:textId="5F1B6CB5" w:rsidR="003730B9" w:rsidRDefault="003730B9" w:rsidP="00C276E9">
      <w:pPr>
        <w:spacing w:after="0"/>
        <w:rPr>
          <w:rFonts w:eastAsia="MS Mincho"/>
          <w:lang w:val="en-US"/>
        </w:rPr>
      </w:pPr>
    </w:p>
    <w:p w14:paraId="3A2634D8" w14:textId="66C61B2F" w:rsidR="003730B9" w:rsidRDefault="003730B9" w:rsidP="00C276E9">
      <w:pPr>
        <w:spacing w:after="0"/>
        <w:rPr>
          <w:rFonts w:eastAsia="MS Mincho"/>
          <w:lang w:val="en-US"/>
        </w:rPr>
      </w:pPr>
    </w:p>
    <w:p w14:paraId="590DB64F" w14:textId="50BEBE1A" w:rsidR="003730B9" w:rsidRDefault="00624B09" w:rsidP="00624B09">
      <w:pPr>
        <w:pStyle w:val="Heading2"/>
        <w:rPr>
          <w:lang w:val="en-US"/>
        </w:rPr>
      </w:pPr>
      <w:r>
        <w:rPr>
          <w:lang w:val="en-US"/>
        </w:rPr>
        <w:t>IODT Aspects</w:t>
      </w:r>
    </w:p>
    <w:p w14:paraId="08929CFB" w14:textId="66814CD1" w:rsidR="00C276E9" w:rsidRDefault="00624B09" w:rsidP="00C276E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that NR was designed to enable operation</w:t>
      </w:r>
      <w:r w:rsidR="007541C8">
        <w:rPr>
          <w:rFonts w:eastAsia="MS Mincho"/>
          <w:lang w:val="en-US"/>
        </w:rPr>
        <w:t xml:space="preserve"> of lower and higher BW UEs in the same channel, served by the same </w:t>
      </w:r>
      <w:proofErr w:type="spellStart"/>
      <w:r w:rsidR="007541C8">
        <w:rPr>
          <w:rFonts w:eastAsia="MS Mincho"/>
          <w:lang w:val="en-US"/>
        </w:rPr>
        <w:t>gNB</w:t>
      </w:r>
      <w:proofErr w:type="spellEnd"/>
      <w:r w:rsidR="007541C8">
        <w:rPr>
          <w:rFonts w:eastAsia="MS Mincho"/>
          <w:lang w:val="en-US"/>
        </w:rPr>
        <w:t xml:space="preserve"> at the same time. However, this requires the </w:t>
      </w:r>
      <w:proofErr w:type="spellStart"/>
      <w:r w:rsidR="007541C8">
        <w:rPr>
          <w:rFonts w:eastAsia="MS Mincho"/>
          <w:lang w:val="en-US"/>
        </w:rPr>
        <w:t>gNB</w:t>
      </w:r>
      <w:proofErr w:type="spellEnd"/>
      <w:r w:rsidR="007541C8">
        <w:rPr>
          <w:rFonts w:eastAsia="MS Mincho"/>
          <w:lang w:val="en-US"/>
        </w:rPr>
        <w:t xml:space="preserve"> to implement the necessary features, such as Reference Point </w:t>
      </w:r>
      <w:r w:rsidR="007541C8">
        <w:rPr>
          <w:rFonts w:eastAsia="MS Mincho"/>
          <w:lang w:val="en-US"/>
        </w:rPr>
        <w:lastRenderedPageBreak/>
        <w:t>A for reference signal scrambling, BWP support, jo</w:t>
      </w:r>
      <w:r w:rsidR="003D46F9">
        <w:rPr>
          <w:rFonts w:eastAsia="MS Mincho"/>
          <w:lang w:val="en-US"/>
        </w:rPr>
        <w:t>i</w:t>
      </w:r>
      <w:r w:rsidR="007541C8">
        <w:rPr>
          <w:rFonts w:eastAsia="MS Mincho"/>
          <w:lang w:val="en-US"/>
        </w:rPr>
        <w:t>nt scheduling, etc. However, if UEs of different BW are not introduced</w:t>
      </w:r>
      <w:r w:rsidR="003D46F9">
        <w:rPr>
          <w:rFonts w:eastAsia="MS Mincho"/>
          <w:lang w:val="en-US"/>
        </w:rPr>
        <w:t xml:space="preserve"> in Rel-16</w:t>
      </w:r>
      <w:r w:rsidR="007541C8">
        <w:rPr>
          <w:rFonts w:eastAsia="MS Mincho"/>
          <w:lang w:val="en-US"/>
        </w:rPr>
        <w:t>, it should be expected that the inevitable later introduction of smaller BW UEs will create potentially a lot of interoperability problems. The later the introduction, the more sever</w:t>
      </w:r>
      <w:r w:rsidR="003D46F9">
        <w:rPr>
          <w:rFonts w:eastAsia="MS Mincho"/>
          <w:lang w:val="en-US"/>
        </w:rPr>
        <w:t>e</w:t>
      </w:r>
      <w:r w:rsidR="007541C8">
        <w:rPr>
          <w:rFonts w:eastAsia="MS Mincho"/>
          <w:lang w:val="en-US"/>
        </w:rPr>
        <w:t xml:space="preserve"> the problem should be expected to be.  </w:t>
      </w:r>
    </w:p>
    <w:p w14:paraId="399BA6AD" w14:textId="23560F5E" w:rsidR="00C276E9" w:rsidRDefault="00C276E9" w:rsidP="00C276E9"/>
    <w:p w14:paraId="37985ECB" w14:textId="0E08D4F0" w:rsidR="00C276E9" w:rsidRDefault="00C276E9" w:rsidP="00C276E9">
      <w:pPr>
        <w:pStyle w:val="Heading2"/>
      </w:pPr>
      <w:r>
        <w:t>Specification impact</w:t>
      </w:r>
    </w:p>
    <w:p w14:paraId="03DDB9E8" w14:textId="31FEABB2" w:rsidR="00C276E9" w:rsidRDefault="00C276E9" w:rsidP="00C276E9">
      <w:r>
        <w:t xml:space="preserve">Since the intent is that the introduction of lower capability NR UEs should have minimum or no impact on WGs, the specification impact should be </w:t>
      </w:r>
      <w:r w:rsidR="003D46F9">
        <w:t xml:space="preserve">also </w:t>
      </w:r>
      <w:r>
        <w:t>minimum. In [3], we already gave examples of how the required changes can be implemented, copied below</w:t>
      </w:r>
      <w:r w:rsidR="003D46F9">
        <w:t xml:space="preserve">. </w:t>
      </w:r>
    </w:p>
    <w:p w14:paraId="29140E7D" w14:textId="017C8783" w:rsidR="00C276E9" w:rsidRDefault="00C276E9" w:rsidP="00C276E9"/>
    <w:p w14:paraId="15A7545C" w14:textId="1E9DEFF4" w:rsidR="00C276E9" w:rsidRPr="00EC117C" w:rsidRDefault="00C276E9" w:rsidP="00C276E9">
      <w:pPr>
        <w:pStyle w:val="TAL"/>
        <w:rPr>
          <w:rFonts w:ascii="Times New Roman" w:hAnsi="Times New Roman"/>
          <w:bCs/>
          <w:iCs/>
          <w:sz w:val="20"/>
        </w:rPr>
      </w:pPr>
      <w:r>
        <w:rPr>
          <w:rFonts w:ascii="Times New Roman" w:hAnsi="Times New Roman"/>
          <w:bCs/>
          <w:iCs/>
          <w:sz w:val="20"/>
        </w:rPr>
        <w:t>(</w:t>
      </w:r>
      <w:r w:rsidRPr="00EC117C">
        <w:rPr>
          <w:rFonts w:ascii="Times New Roman" w:hAnsi="Times New Roman"/>
          <w:bCs/>
          <w:iCs/>
          <w:sz w:val="20"/>
        </w:rPr>
        <w:t>Note that possible restrictions, e.g. BW range discussed in section are not yet reflected in this example text change.</w:t>
      </w:r>
      <w:r>
        <w:rPr>
          <w:rFonts w:ascii="Times New Roman" w:hAnsi="Times New Roman"/>
          <w:bCs/>
          <w:iCs/>
          <w:sz w:val="20"/>
        </w:rPr>
        <w:t>)</w:t>
      </w:r>
    </w:p>
    <w:p w14:paraId="4F5C1966" w14:textId="77777777" w:rsidR="00C276E9" w:rsidRPr="00EC117C" w:rsidRDefault="00C276E9" w:rsidP="00C276E9">
      <w:pPr>
        <w:pStyle w:val="TAL"/>
        <w:rPr>
          <w:rFonts w:ascii="Times New Roman" w:hAnsi="Times New Roman"/>
          <w:bCs/>
          <w:iCs/>
          <w:sz w:val="20"/>
        </w:rPr>
      </w:pPr>
    </w:p>
    <w:p w14:paraId="1B473EF1" w14:textId="77777777" w:rsidR="00C276E9" w:rsidRPr="00EC117C" w:rsidRDefault="00C276E9" w:rsidP="00C276E9">
      <w:pPr>
        <w:pStyle w:val="TAL"/>
        <w:rPr>
          <w:rFonts w:ascii="Times New Roman" w:hAnsi="Times New Roman"/>
          <w:bCs/>
          <w:iCs/>
          <w:sz w:val="20"/>
        </w:rPr>
      </w:pPr>
      <w:r w:rsidRPr="00EC117C">
        <w:rPr>
          <w:rFonts w:ascii="Times New Roman" w:hAnsi="Times New Roman"/>
          <w:bCs/>
          <w:iCs/>
          <w:sz w:val="20"/>
        </w:rPr>
        <w:t>[36.306]</w:t>
      </w:r>
    </w:p>
    <w:p w14:paraId="174651B6" w14:textId="77777777" w:rsidR="00C276E9" w:rsidRPr="00EC117C" w:rsidRDefault="00C276E9" w:rsidP="00C276E9">
      <w:pPr>
        <w:pStyle w:val="TAL"/>
        <w:rPr>
          <w:rFonts w:ascii="Times New Roman" w:hAnsi="Times New Roman"/>
          <w:b/>
          <w:i/>
          <w:sz w:val="20"/>
        </w:rPr>
      </w:pPr>
      <w:proofErr w:type="spellStart"/>
      <w:r w:rsidRPr="00EC117C">
        <w:rPr>
          <w:rFonts w:ascii="Times New Roman" w:hAnsi="Times New Roman"/>
          <w:b/>
          <w:i/>
          <w:sz w:val="20"/>
        </w:rPr>
        <w:t>channelBWs</w:t>
      </w:r>
      <w:proofErr w:type="spellEnd"/>
      <w:r w:rsidRPr="00EC117C">
        <w:rPr>
          <w:rFonts w:ascii="Times New Roman" w:hAnsi="Times New Roman"/>
          <w:b/>
          <w:i/>
          <w:sz w:val="20"/>
        </w:rPr>
        <w:t>-DL</w:t>
      </w:r>
    </w:p>
    <w:p w14:paraId="7FB96265" w14:textId="77777777" w:rsidR="00C276E9" w:rsidRPr="00EC117C" w:rsidRDefault="00C276E9" w:rsidP="00C276E9">
      <w:r w:rsidRPr="00EC117C">
        <w:t>Indicates for each subcarrier spacing whether the UE supports channel bandwidths lower than the maximum channel bandwidth as defined in clause 5.3.5 of TS 38.101-1 [2] and TS 38.101-2 [3]. If this parameter is not included, the UE supports all channel bandwidths. For FR1, the bits starting from the leading / leftmost bit indicate 5, 10, 15, 20, 25, 30, 40, 50, 60</w:t>
      </w:r>
      <w:r w:rsidRPr="00EC117C">
        <w:rPr>
          <w:strike/>
          <w:color w:val="FF0000"/>
        </w:rPr>
        <w:t xml:space="preserve"> and</w:t>
      </w:r>
      <w:r w:rsidRPr="00EC117C">
        <w:rPr>
          <w:color w:val="FF0000"/>
          <w:u w:val="single"/>
        </w:rPr>
        <w:t>,</w:t>
      </w:r>
      <w:r w:rsidRPr="00EC117C">
        <w:t xml:space="preserve"> 80 </w:t>
      </w:r>
      <w:r w:rsidRPr="00EC117C">
        <w:rPr>
          <w:color w:val="FF0000"/>
          <w:u w:val="single"/>
        </w:rPr>
        <w:t>and 100</w:t>
      </w:r>
      <w:r w:rsidRPr="00EC117C">
        <w:t xml:space="preserve">MHz. For FR2, the bits starting from the leading / leftmost bit indicate 50, 100 and 200MHz. </w:t>
      </w:r>
      <w:r w:rsidRPr="00EC117C">
        <w:rPr>
          <w:strike/>
          <w:color w:val="FF0000"/>
        </w:rPr>
        <w:t>The third / rightmost bit (for 200M) shall be set to 1.</w:t>
      </w:r>
    </w:p>
    <w:p w14:paraId="0600AE23" w14:textId="77777777" w:rsidR="00C276E9" w:rsidRPr="00EC117C" w:rsidRDefault="00C276E9" w:rsidP="00C276E9">
      <w:pPr>
        <w:pStyle w:val="TAL"/>
        <w:rPr>
          <w:rFonts w:ascii="Times New Roman" w:hAnsi="Times New Roman"/>
          <w:b/>
          <w:i/>
          <w:sz w:val="20"/>
        </w:rPr>
      </w:pPr>
      <w:proofErr w:type="spellStart"/>
      <w:r w:rsidRPr="00EC117C">
        <w:rPr>
          <w:rFonts w:ascii="Times New Roman" w:hAnsi="Times New Roman"/>
          <w:b/>
          <w:i/>
          <w:sz w:val="20"/>
        </w:rPr>
        <w:t>channelBWs</w:t>
      </w:r>
      <w:proofErr w:type="spellEnd"/>
      <w:r w:rsidRPr="00EC117C">
        <w:rPr>
          <w:rFonts w:ascii="Times New Roman" w:hAnsi="Times New Roman"/>
          <w:b/>
          <w:i/>
          <w:sz w:val="20"/>
        </w:rPr>
        <w:t>-UL</w:t>
      </w:r>
    </w:p>
    <w:p w14:paraId="6325287D" w14:textId="77777777" w:rsidR="00C276E9" w:rsidRPr="00EC117C" w:rsidRDefault="00C276E9" w:rsidP="00C276E9">
      <w:pPr>
        <w:pStyle w:val="TAL"/>
        <w:rPr>
          <w:rFonts w:ascii="Times New Roman" w:hAnsi="Times New Roman"/>
          <w:sz w:val="20"/>
        </w:rPr>
      </w:pPr>
      <w:r w:rsidRPr="00EC117C">
        <w:rPr>
          <w:rFonts w:ascii="Times New Roman" w:hAnsi="Times New Roman"/>
          <w:sz w:val="20"/>
        </w:rPr>
        <w:t>Indicates for each subcarrier spacing whether the UE supports channel bandwidths lower than the maximum channel bandwidth as defined in clause 5.3.5 of TS 38.101-1 [2] and TS 38.101-2 [3]. If this parameter is not included, the UE supports all channel bandwidths.</w:t>
      </w:r>
    </w:p>
    <w:p w14:paraId="238F30F5" w14:textId="77777777" w:rsidR="00C276E9" w:rsidRPr="00EC117C" w:rsidRDefault="00C276E9" w:rsidP="00C276E9">
      <w:pPr>
        <w:pStyle w:val="TAL"/>
        <w:rPr>
          <w:rFonts w:ascii="Times New Roman" w:hAnsi="Times New Roman"/>
          <w:sz w:val="20"/>
        </w:rPr>
      </w:pPr>
      <w:r w:rsidRPr="00EC117C">
        <w:rPr>
          <w:rFonts w:ascii="Times New Roman" w:hAnsi="Times New Roman"/>
          <w:sz w:val="20"/>
        </w:rPr>
        <w:t>For FR1, the bits starting from the leading / leftmost bit indicate 5, 10, 15, 20, 25, 30, 40, 50, 60</w:t>
      </w:r>
      <w:r w:rsidRPr="00EC117C">
        <w:rPr>
          <w:rFonts w:ascii="Times New Roman" w:hAnsi="Times New Roman"/>
          <w:strike/>
          <w:color w:val="FF0000"/>
          <w:sz w:val="20"/>
        </w:rPr>
        <w:t xml:space="preserve"> and</w:t>
      </w:r>
      <w:r w:rsidRPr="00EC117C">
        <w:rPr>
          <w:rFonts w:ascii="Times New Roman" w:hAnsi="Times New Roman"/>
          <w:color w:val="FF0000"/>
          <w:sz w:val="20"/>
          <w:u w:val="single"/>
        </w:rPr>
        <w:t>,</w:t>
      </w:r>
      <w:r w:rsidRPr="00EC117C">
        <w:rPr>
          <w:rFonts w:ascii="Times New Roman" w:hAnsi="Times New Roman"/>
          <w:sz w:val="20"/>
        </w:rPr>
        <w:t xml:space="preserve"> 80 </w:t>
      </w:r>
      <w:r w:rsidRPr="00EC117C">
        <w:rPr>
          <w:rFonts w:ascii="Times New Roman" w:hAnsi="Times New Roman"/>
          <w:color w:val="FF0000"/>
          <w:sz w:val="20"/>
          <w:u w:val="single"/>
        </w:rPr>
        <w:t>and 100</w:t>
      </w:r>
      <w:r w:rsidRPr="00EC117C">
        <w:rPr>
          <w:rFonts w:ascii="Times New Roman" w:hAnsi="Times New Roman"/>
          <w:sz w:val="20"/>
        </w:rPr>
        <w:t>MHz.</w:t>
      </w:r>
    </w:p>
    <w:p w14:paraId="4755EFE9" w14:textId="77777777" w:rsidR="00C276E9" w:rsidRPr="00EC117C" w:rsidRDefault="00C276E9" w:rsidP="00C276E9">
      <w:r w:rsidRPr="00EC117C">
        <w:t xml:space="preserve">For FR2, the bits starting from the leading / leftmost bit indicate 50, 100 and 200MHz. </w:t>
      </w:r>
      <w:r w:rsidRPr="00EC117C">
        <w:rPr>
          <w:strike/>
          <w:color w:val="FF0000"/>
        </w:rPr>
        <w:t>The third / rightmost bit (for 200M) shall be set to 1.</w:t>
      </w:r>
    </w:p>
    <w:p w14:paraId="46E18D5E" w14:textId="77777777" w:rsidR="00C276E9" w:rsidRPr="00EC117C" w:rsidRDefault="00C276E9" w:rsidP="00C276E9">
      <w:pPr>
        <w:keepNext/>
        <w:keepLines/>
        <w:spacing w:after="0"/>
        <w:rPr>
          <w:b/>
          <w:i/>
        </w:rPr>
      </w:pPr>
      <w:proofErr w:type="spellStart"/>
      <w:r w:rsidRPr="00EC117C">
        <w:rPr>
          <w:b/>
          <w:i/>
        </w:rPr>
        <w:t>supportedBandwidthDL</w:t>
      </w:r>
      <w:proofErr w:type="spellEnd"/>
    </w:p>
    <w:p w14:paraId="55F9332D" w14:textId="77777777" w:rsidR="00C276E9" w:rsidRPr="00EC117C" w:rsidRDefault="00C276E9" w:rsidP="00C276E9">
      <w:pPr>
        <w:rPr>
          <w:strike/>
          <w:color w:val="FF0000"/>
        </w:rPr>
      </w:pPr>
      <w:r w:rsidRPr="00EC117C">
        <w:t xml:space="preserve">Indicates maximum DL channel bandwidth supported for a given SCS that UE supports within a single CC, which is defined in Table 5.3.5-1 in TS 38.101-1 [2] for FR1 and Table 5.3.5-1 in TS 38.101-2 [3] for FR2. </w:t>
      </w:r>
      <w:r w:rsidRPr="00EC117C">
        <w:rPr>
          <w:strike/>
          <w:color w:val="FF0000"/>
        </w:rPr>
        <w:t xml:space="preserve">For FR1, all the bandwidths listed in TS38.101-1 v15.0.0 Table 5.3.5-1 for each band shall be mandatory with a single CC. For FR2, the set of mandatory CBW is 50, 100, 200 </w:t>
      </w:r>
      <w:proofErr w:type="spellStart"/>
      <w:r w:rsidRPr="00EC117C">
        <w:rPr>
          <w:strike/>
          <w:color w:val="FF0000"/>
        </w:rPr>
        <w:t>MHz.</w:t>
      </w:r>
      <w:proofErr w:type="spellEnd"/>
      <w:r w:rsidRPr="00EC117C">
        <w:rPr>
          <w:strike/>
          <w:color w:val="FF0000"/>
        </w:rPr>
        <w:t xml:space="preserve"> When this field is included in a band combination with a </w:t>
      </w:r>
      <w:proofErr w:type="spellStart"/>
      <w:r w:rsidRPr="00EC117C">
        <w:rPr>
          <w:strike/>
          <w:color w:val="FF0000"/>
        </w:rPr>
        <w:t>signle</w:t>
      </w:r>
      <w:proofErr w:type="spellEnd"/>
      <w:r w:rsidRPr="00EC117C">
        <w:rPr>
          <w:strike/>
          <w:color w:val="FF0000"/>
        </w:rPr>
        <w:t xml:space="preserve"> band entry and a single CC entry (i.e. non-CA band combination), the UE shall indicate the maximum channel </w:t>
      </w:r>
      <w:proofErr w:type="spellStart"/>
      <w:r w:rsidRPr="00EC117C">
        <w:rPr>
          <w:strike/>
          <w:color w:val="FF0000"/>
        </w:rPr>
        <w:t>bandwith</w:t>
      </w:r>
      <w:proofErr w:type="spellEnd"/>
      <w:r w:rsidRPr="00EC117C">
        <w:rPr>
          <w:strike/>
          <w:color w:val="FF0000"/>
        </w:rPr>
        <w:t xml:space="preserve"> for the band according to TS 38.101-1 [2] and TS 38.101-2 [3].</w:t>
      </w:r>
    </w:p>
    <w:p w14:paraId="542D31FE" w14:textId="77777777" w:rsidR="00C276E9" w:rsidRPr="00EC117C" w:rsidRDefault="00C276E9" w:rsidP="00C276E9">
      <w:pPr>
        <w:pStyle w:val="TAL"/>
        <w:rPr>
          <w:rFonts w:ascii="Times New Roman" w:hAnsi="Times New Roman"/>
          <w:b/>
          <w:i/>
          <w:sz w:val="20"/>
        </w:rPr>
      </w:pPr>
      <w:proofErr w:type="spellStart"/>
      <w:r w:rsidRPr="00EC117C">
        <w:rPr>
          <w:rFonts w:ascii="Times New Roman" w:hAnsi="Times New Roman"/>
          <w:b/>
          <w:i/>
          <w:sz w:val="20"/>
        </w:rPr>
        <w:t>supportedBandwidthUL</w:t>
      </w:r>
      <w:proofErr w:type="spellEnd"/>
    </w:p>
    <w:p w14:paraId="64E3C5A6" w14:textId="77777777" w:rsidR="00C276E9" w:rsidRPr="00EC117C" w:rsidRDefault="00C276E9" w:rsidP="00C276E9">
      <w:pPr>
        <w:rPr>
          <w:strike/>
          <w:color w:val="FF0000"/>
        </w:rPr>
      </w:pPr>
      <w:r w:rsidRPr="00EC117C">
        <w:t xml:space="preserve">Indicates maximum UL channel bandwidth supported for a given SCS that UE supports within a single CC, which is defined in Table 5.3.5-1 in TS38.101-1 [2] for FR1 and Table 5.3.5-1 in TS 38.101-2 [3] for FR2. </w:t>
      </w:r>
      <w:r w:rsidRPr="00EC117C">
        <w:rPr>
          <w:strike/>
          <w:color w:val="FF0000"/>
        </w:rPr>
        <w:t xml:space="preserve">For FR1, all the bandwidths listed in TS38.101-1 v15.0.0 Table 5.3.5-1 for each band shall be mandatory with a single CC. For FR2, the set of mandatory CBW is 50, 100, 200 </w:t>
      </w:r>
      <w:proofErr w:type="spellStart"/>
      <w:r w:rsidRPr="00EC117C">
        <w:rPr>
          <w:strike/>
          <w:color w:val="FF0000"/>
        </w:rPr>
        <w:t>MHz.</w:t>
      </w:r>
      <w:proofErr w:type="spellEnd"/>
      <w:r w:rsidRPr="00EC117C">
        <w:rPr>
          <w:strike/>
          <w:color w:val="FF0000"/>
        </w:rPr>
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</w:r>
    </w:p>
    <w:p w14:paraId="11224C1F" w14:textId="77777777" w:rsidR="00C276E9" w:rsidRPr="00EC117C" w:rsidRDefault="00C276E9" w:rsidP="00C276E9">
      <w:pPr>
        <w:spacing w:after="0"/>
        <w:rPr>
          <w:color w:val="auto"/>
        </w:rPr>
      </w:pPr>
      <w:r w:rsidRPr="00EC117C">
        <w:rPr>
          <w:color w:val="auto"/>
        </w:rPr>
        <w:t>[38.101-1]</w:t>
      </w:r>
    </w:p>
    <w:p w14:paraId="2167659D" w14:textId="7E6A3E80" w:rsidR="00C276E9" w:rsidRPr="00C276E9" w:rsidRDefault="00C276E9" w:rsidP="00C276E9">
      <w:r w:rsidRPr="00EC117C">
        <w:t xml:space="preserve">The UE is required to be equipped with a minimum of two Rx antenna ports in all operating bands </w:t>
      </w:r>
      <w:r w:rsidRPr="00EC117C">
        <w:rPr>
          <w:strike/>
          <w:color w:val="FF0000"/>
        </w:rPr>
        <w:t>except for the bands n7, n38, n41, n77, n78, n79 where the UE is required to be equipped with a minimum of four Rx antenna ports</w:t>
      </w:r>
      <w:r w:rsidRPr="00EC117C">
        <w:t>. This requirement applies when the band is used as a standalone band or as part of a band combination.</w:t>
      </w:r>
    </w:p>
    <w:p w14:paraId="2F1815AC" w14:textId="77777777" w:rsidR="00C276E9" w:rsidRDefault="00C276E9" w:rsidP="00C276E9">
      <w:pPr>
        <w:spacing w:after="0"/>
        <w:rPr>
          <w:rFonts w:eastAsia="MS Mincho"/>
          <w:lang w:val="en-US"/>
        </w:rPr>
      </w:pPr>
    </w:p>
    <w:p w14:paraId="4A044345" w14:textId="77777777" w:rsidR="00C276E9" w:rsidRPr="007B0C0A" w:rsidRDefault="00C276E9" w:rsidP="00C276E9">
      <w:pPr>
        <w:spacing w:after="0"/>
        <w:rPr>
          <w:rFonts w:eastAsia="MS Mincho"/>
          <w:u w:val="single"/>
          <w:lang w:val="en-US"/>
        </w:rPr>
      </w:pPr>
      <w:r w:rsidRPr="007B0C0A">
        <w:rPr>
          <w:rFonts w:eastAsia="MS Mincho"/>
          <w:u w:val="single"/>
          <w:lang w:val="en-US"/>
        </w:rPr>
        <w:t>Impact analysis:</w:t>
      </w:r>
    </w:p>
    <w:p w14:paraId="20959B77" w14:textId="66AC5135" w:rsidR="00C276E9" w:rsidRDefault="00C276E9" w:rsidP="00C276E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our understanding that for either the BW or MIMO layer relaxation, the necessary signaling is </w:t>
      </w:r>
      <w:r w:rsidR="003D46F9">
        <w:rPr>
          <w:rFonts w:eastAsia="MS Mincho"/>
          <w:lang w:val="en-US"/>
        </w:rPr>
        <w:t xml:space="preserve">mostly </w:t>
      </w:r>
      <w:r>
        <w:rPr>
          <w:rFonts w:eastAsia="MS Mincho"/>
          <w:lang w:val="en-US"/>
        </w:rPr>
        <w:t xml:space="preserve">already in place. Therefore, no new WI or TEI would be required. The decision and necessary CRs could be agreed at RAN. </w:t>
      </w:r>
    </w:p>
    <w:p w14:paraId="2679DF33" w14:textId="77777777" w:rsidR="00C276E9" w:rsidRPr="00D81F64" w:rsidRDefault="00C276E9" w:rsidP="00C276E9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Since it is not the intent to introduce single-Rx devices in Rel-16, no new UE requirements would have to be developed by RAN4. In addition, the Rel-15 specification has already been designed to be forward compatible with different BW capability UEs operating in the same spectrum. </w:t>
      </w:r>
    </w:p>
    <w:p w14:paraId="23449046" w14:textId="77777777" w:rsidR="00C276E9" w:rsidRPr="00C276E9" w:rsidRDefault="00C276E9" w:rsidP="00C276E9"/>
    <w:p w14:paraId="3A4FB463" w14:textId="4552B5F0" w:rsidR="00CB16FB" w:rsidRPr="00DD3C8B" w:rsidRDefault="00CB16FB" w:rsidP="00FE7145">
      <w:pPr>
        <w:pStyle w:val="Heading1"/>
        <w:rPr>
          <w:rFonts w:cs="Arial"/>
        </w:rPr>
      </w:pPr>
      <w:r>
        <w:lastRenderedPageBreak/>
        <w:t>Conclusions</w:t>
      </w:r>
    </w:p>
    <w:p w14:paraId="1EC809FE" w14:textId="554E97CE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</w:t>
      </w:r>
      <w:r>
        <w:rPr>
          <w:lang w:val="en-US"/>
        </w:rPr>
        <w:t xml:space="preserve"> ha</w:t>
      </w:r>
      <w:r w:rsidR="004C398C">
        <w:rPr>
          <w:lang w:val="en-US"/>
        </w:rPr>
        <w:t>ve</w:t>
      </w:r>
      <w:r>
        <w:rPr>
          <w:lang w:val="en-US"/>
        </w:rPr>
        <w:t xml:space="preserve"> been made:</w:t>
      </w:r>
    </w:p>
    <w:p w14:paraId="3FA1B550" w14:textId="5F1AC580" w:rsidR="004C398C" w:rsidRPr="004C398C" w:rsidRDefault="004C398C" w:rsidP="004C398C">
      <w:pPr>
        <w:spacing w:after="0"/>
        <w:rPr>
          <w:b/>
          <w:lang w:val="en-US"/>
        </w:rPr>
      </w:pPr>
      <w:r w:rsidRPr="004C398C">
        <w:rPr>
          <w:b/>
          <w:lang w:val="en-US"/>
        </w:rPr>
        <w:t>Proposal 1:  We propose to introduce lower capability NR</w:t>
      </w:r>
      <w:r w:rsidR="00231944">
        <w:rPr>
          <w:b/>
          <w:lang w:val="en-US"/>
        </w:rPr>
        <w:t xml:space="preserve"> </w:t>
      </w:r>
      <w:proofErr w:type="spellStart"/>
      <w:r w:rsidR="00231944">
        <w:rPr>
          <w:b/>
          <w:lang w:val="en-US"/>
        </w:rPr>
        <w:t>eMBB</w:t>
      </w:r>
      <w:proofErr w:type="spellEnd"/>
      <w:r w:rsidRPr="004C398C">
        <w:rPr>
          <w:b/>
          <w:lang w:val="en-US"/>
        </w:rPr>
        <w:t xml:space="preserve"> devices in Rel-16. </w:t>
      </w:r>
    </w:p>
    <w:p w14:paraId="5BDE9C97" w14:textId="77777777" w:rsidR="004C398C" w:rsidRDefault="004C398C" w:rsidP="004C398C">
      <w:pPr>
        <w:spacing w:after="0"/>
        <w:rPr>
          <w:b/>
          <w:lang w:val="en-US"/>
        </w:rPr>
      </w:pPr>
    </w:p>
    <w:p w14:paraId="1BBEF975" w14:textId="7BB44F3E" w:rsidR="004C398C" w:rsidRDefault="004C398C" w:rsidP="004C398C">
      <w:pPr>
        <w:spacing w:after="0"/>
        <w:rPr>
          <w:b/>
          <w:lang w:val="en-US"/>
        </w:rPr>
      </w:pPr>
    </w:p>
    <w:p w14:paraId="4F50FA6E" w14:textId="77777777" w:rsidR="003D46F9" w:rsidRPr="004C398C" w:rsidRDefault="003D46F9" w:rsidP="004C398C">
      <w:pPr>
        <w:spacing w:after="0"/>
        <w:rPr>
          <w:b/>
          <w:lang w:val="en-US"/>
        </w:rPr>
      </w:pPr>
      <w:bookmarkStart w:id="2" w:name="_GoBack"/>
      <w:bookmarkEnd w:id="2"/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t>References</w:t>
      </w:r>
    </w:p>
    <w:p w14:paraId="7B75E5F2" w14:textId="582C1019" w:rsidR="00126D97" w:rsidRDefault="00266199" w:rsidP="00D909B0">
      <w:pPr>
        <w:numPr>
          <w:ilvl w:val="0"/>
          <w:numId w:val="5"/>
        </w:numPr>
        <w:textAlignment w:val="auto"/>
      </w:pPr>
      <w:r>
        <w:t>“</w:t>
      </w:r>
      <w:r w:rsidR="00D909B0" w:rsidRPr="00D909B0">
        <w:t>draft_MeetingReport_RAN_81_180913_eom</w:t>
      </w:r>
      <w:r>
        <w:t xml:space="preserve">”, </w:t>
      </w:r>
      <w:r w:rsidR="00D909B0">
        <w:t>ETSI</w:t>
      </w:r>
    </w:p>
    <w:p w14:paraId="2D726181" w14:textId="67CB61A1" w:rsidR="00866EFB" w:rsidRDefault="00866EFB" w:rsidP="00D909B0">
      <w:pPr>
        <w:numPr>
          <w:ilvl w:val="0"/>
          <w:numId w:val="5"/>
        </w:numPr>
        <w:textAlignment w:val="auto"/>
      </w:pPr>
      <w:r>
        <w:t>RP-190994, “</w:t>
      </w:r>
      <w:r w:rsidRPr="00866EFB">
        <w:t>Lower NR UE capabilities</w:t>
      </w:r>
      <w:r>
        <w:t>”, Qualcomm</w:t>
      </w:r>
    </w:p>
    <w:p w14:paraId="006D58D3" w14:textId="6C9D4AA6" w:rsidR="00866EFB" w:rsidRDefault="00866EFB" w:rsidP="00D909B0">
      <w:pPr>
        <w:numPr>
          <w:ilvl w:val="0"/>
          <w:numId w:val="5"/>
        </w:numPr>
        <w:textAlignment w:val="auto"/>
      </w:pPr>
      <w:r>
        <w:t>RP-191734, “</w:t>
      </w:r>
      <w:r w:rsidRPr="00866EFB">
        <w:t>Summary of email discussion on Rel-16 lower NR UE capabilities</w:t>
      </w:r>
      <w:r>
        <w:t>”, Qualcomm</w:t>
      </w:r>
    </w:p>
    <w:sectPr w:rsidR="00866EFB" w:rsidSect="0073424F">
      <w:headerReference w:type="even" r:id="rId18"/>
      <w:footerReference w:type="default" r:id="rId19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8A1B9" w14:textId="77777777" w:rsidR="00B069F1" w:rsidRDefault="00B069F1">
      <w:r>
        <w:separator/>
      </w:r>
    </w:p>
    <w:p w14:paraId="2780E171" w14:textId="77777777" w:rsidR="00B069F1" w:rsidRDefault="00B069F1"/>
  </w:endnote>
  <w:endnote w:type="continuationSeparator" w:id="0">
    <w:p w14:paraId="68E1BA4D" w14:textId="77777777" w:rsidR="00B069F1" w:rsidRDefault="00B069F1">
      <w:r>
        <w:continuationSeparator/>
      </w:r>
    </w:p>
    <w:p w14:paraId="36B50DB7" w14:textId="77777777" w:rsidR="00B069F1" w:rsidRDefault="00B069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BA42B8" w:rsidRDefault="00BA42B8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BA42B8" w:rsidRDefault="00BA4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19F1" w14:textId="77777777" w:rsidR="00B069F1" w:rsidRDefault="00B069F1">
      <w:r>
        <w:separator/>
      </w:r>
    </w:p>
    <w:p w14:paraId="0D9DFA09" w14:textId="77777777" w:rsidR="00B069F1" w:rsidRDefault="00B069F1"/>
  </w:footnote>
  <w:footnote w:type="continuationSeparator" w:id="0">
    <w:p w14:paraId="5F4AC42D" w14:textId="77777777" w:rsidR="00B069F1" w:rsidRDefault="00B069F1">
      <w:r>
        <w:continuationSeparator/>
      </w:r>
    </w:p>
    <w:p w14:paraId="5254D7E0" w14:textId="77777777" w:rsidR="00B069F1" w:rsidRDefault="00B069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BA42B8" w:rsidRDefault="00BA42B8"/>
  <w:p w14:paraId="305600EF" w14:textId="77777777" w:rsidR="00BA42B8" w:rsidRDefault="00BA42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235E86"/>
    <w:multiLevelType w:val="hybridMultilevel"/>
    <w:tmpl w:val="04D6E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  <w:num w:numId="12">
    <w:abstractNumId w:val="12"/>
  </w:num>
  <w:num w:numId="13">
    <w:abstractNumId w:val="5"/>
  </w:num>
  <w:num w:numId="14">
    <w:abstractNumId w:val="2"/>
  </w:num>
  <w:num w:numId="15">
    <w:abstractNumId w:val="3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0607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30B9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497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6F9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137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D17B2"/>
    <w:rsid w:val="004D1F0B"/>
    <w:rsid w:val="004D2582"/>
    <w:rsid w:val="004D43A8"/>
    <w:rsid w:val="004D743B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0F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4B09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41C8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3F66"/>
    <w:rsid w:val="007B5E20"/>
    <w:rsid w:val="007C022E"/>
    <w:rsid w:val="007C58F6"/>
    <w:rsid w:val="007C5AAD"/>
    <w:rsid w:val="007C6518"/>
    <w:rsid w:val="007C66C6"/>
    <w:rsid w:val="007C6F5B"/>
    <w:rsid w:val="007C78B3"/>
    <w:rsid w:val="007D356D"/>
    <w:rsid w:val="007D69B9"/>
    <w:rsid w:val="007D76A6"/>
    <w:rsid w:val="007E2A46"/>
    <w:rsid w:val="007E3CE3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2986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66EFB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C5A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9F1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2B8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276E9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1F64"/>
    <w:rsid w:val="00D828ED"/>
    <w:rsid w:val="00D82C98"/>
    <w:rsid w:val="00D85544"/>
    <w:rsid w:val="00D87457"/>
    <w:rsid w:val="00D909B0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967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22E2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EBE75EF0-1337-4EC3-A1F9-7E57BC65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6611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171</cp:revision>
  <cp:lastPrinted>2003-09-26T18:29:00Z</cp:lastPrinted>
  <dcterms:created xsi:type="dcterms:W3CDTF">2017-11-28T23:11:00Z</dcterms:created>
  <dcterms:modified xsi:type="dcterms:W3CDTF">2019-09-09T22:07:00Z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